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right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В Управление Росреестра по ____________________</w:t>
      </w:r>
    </w:p>
    <w:p>
      <w:pPr>
        <w:spacing w:after="40" w:before="0"/>
        <w:jc w:val="right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от ________________________________</w:t>
      </w:r>
    </w:p>
    <w:p>
      <w:pPr>
        <w:spacing w:after="240" w:before="0"/>
        <w:jc w:val="right"/>
      </w:pPr>
      <w:r>
        <w:rPr>
          <w:rFonts w:ascii="PT Serif" w:cs="PT Serif" w:eastAsia="PT Serif" w:hAnsi="PT Serif"/>
          <w:color w:val="4E4759"/>
          <w:sz w:val="18"/>
          <w:szCs w:val="18"/>
        </w:rPr>
        <w:t xml:space="preserve">(Ф.И.О. / наименование заявителя, адрес, телефон, e-mail)</w:t>
      </w:r>
    </w:p>
    <w:p>
      <w:pPr>
        <w:spacing w:after="60"/>
        <w:jc w:val="center"/>
      </w:pPr>
      <w:r>
        <w:rPr>
          <w:rFonts w:ascii="PT Serif" w:cs="PT Serif" w:eastAsia="PT Serif" w:hAnsi="PT Serif"/>
          <w:b/>
          <w:bCs/>
          <w:color w:val="241F2E"/>
          <w:sz w:val="26"/>
          <w:szCs w:val="26"/>
        </w:rPr>
        <w:t xml:space="preserve">ПОЯСНЕНИЯ И ДОПОЛНИТЕЛЬНЫЕ ДОКУМЕНТЫ</w:t>
      </w:r>
    </w:p>
    <w:p>
      <w:pPr>
        <w:spacing w:after="240"/>
        <w:jc w:val="center"/>
      </w:pPr>
      <w:r>
        <w:rPr>
          <w:rFonts w:ascii="PT Serif" w:cs="PT Serif" w:eastAsia="PT Serif" w:hAnsi="PT Serif"/>
          <w:color w:val="4E4759"/>
          <w:sz w:val="20"/>
          <w:szCs w:val="20"/>
        </w:rPr>
        <w:t xml:space="preserve">к заявлению по регистрационному делу в связи с уведомлением о приостановлении</w:t>
      </w:r>
    </w:p>
    <w:p>
      <w:pPr>
        <w:spacing w:after="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Уведомление о приостановлении: номер, дата: </w:t>
      </w:r>
      <w:r>
        <w:rPr>
          <w:rFonts w:ascii="PT Serif" w:cs="PT Serif" w:eastAsia="PT Serif" w:hAnsi="PT Serif"/>
          <w:color w:val="4E4759"/>
          <w:sz w:val="22"/>
          <w:szCs w:val="22"/>
        </w:rPr>
        <w:t xml:space="preserve">______________________________</w:t>
      </w:r>
    </w:p>
    <w:p>
      <w:pPr>
        <w:spacing w:after="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Номер регистрационного дела (КУВД): </w:t>
      </w:r>
      <w:r>
        <w:rPr>
          <w:rFonts w:ascii="PT Serif" w:cs="PT Serif" w:eastAsia="PT Serif" w:hAnsi="PT Serif"/>
          <w:color w:val="4E4759"/>
          <w:sz w:val="22"/>
          <w:szCs w:val="22"/>
        </w:rPr>
        <w:t xml:space="preserve">______________________________</w:t>
      </w:r>
    </w:p>
    <w:p>
      <w:pPr>
        <w:spacing w:after="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Объект недвижимости: кадастровый номер, адрес: </w:t>
      </w:r>
      <w:r>
        <w:rPr>
          <w:rFonts w:ascii="PT Serif" w:cs="PT Serif" w:eastAsia="PT Serif" w:hAnsi="PT Serif"/>
          <w:color w:val="4E4759"/>
          <w:sz w:val="22"/>
          <w:szCs w:val="22"/>
        </w:rPr>
        <w:t xml:space="preserve">______________________________</w:t>
      </w:r>
    </w:p>
    <w:p>
      <w:pPr>
        <w:spacing w:after="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Срок приостановления: дата окончания: </w:t>
      </w:r>
      <w:r>
        <w:rPr>
          <w:rFonts w:ascii="PT Serif" w:cs="PT Serif" w:eastAsia="PT Serif" w:hAnsi="PT Serif"/>
          <w:color w:val="4E4759"/>
          <w:sz w:val="22"/>
          <w:szCs w:val="22"/>
        </w:rPr>
        <w:t xml:space="preserve">______________________________</w:t>
      </w:r>
    </w:p>
    <w:p>
      <w:pPr>
        <w:spacing w:after="160" w:before="1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Рассмотрев основания, указанные в уведомлении, заявитель поясняет следующее и представляет дополнительные документы:</w:t>
      </w:r>
    </w:p>
    <w:tbl>
      <w:tblPr>
        <w:tblW w:type="dxa" w:w="9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300"/>
        <w:gridCol w:w="3300"/>
        <w:gridCol w:w="2440"/>
      </w:tblGrid>
      <w:tr>
        <w:tc>
          <w:tcPr>
            <w:tcW w:type="dxa" w:w="600"/>
            <w:shd w:fill="EEE8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/>
                <w:bCs/>
                <w:color w:val="241F2E"/>
                <w:sz w:val="20"/>
                <w:szCs w:val="20"/>
              </w:rPr>
              <w:t xml:space="preserve">№</w:t>
            </w:r>
          </w:p>
        </w:tc>
        <w:tc>
          <w:tcPr>
            <w:tcW w:type="dxa" w:w="3300"/>
            <w:shd w:fill="EEE8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/>
                <w:bCs/>
                <w:color w:val="241F2E"/>
                <w:sz w:val="20"/>
                <w:szCs w:val="20"/>
              </w:rPr>
              <w:t xml:space="preserve">Основание из уведомления (пункт ч. 1 ст. 26 № 218-ФЗ, формулировка)</w:t>
            </w:r>
          </w:p>
        </w:tc>
        <w:tc>
          <w:tcPr>
            <w:tcW w:type="dxa" w:w="3300"/>
            <w:shd w:fill="EEE8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/>
                <w:bCs/>
                <w:color w:val="241F2E"/>
                <w:sz w:val="20"/>
                <w:szCs w:val="20"/>
              </w:rPr>
              <w:t xml:space="preserve">Довод заявителя</w:t>
            </w:r>
          </w:p>
        </w:tc>
        <w:tc>
          <w:tcPr>
            <w:tcW w:type="dxa" w:w="2440"/>
            <w:shd w:fill="EEE8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/>
                <w:bCs/>
                <w:color w:val="241F2E"/>
                <w:sz w:val="20"/>
                <w:szCs w:val="20"/>
              </w:rPr>
              <w:t xml:space="preserve">Подтверждающий документ (приложение №)</w:t>
            </w:r>
          </w:p>
        </w:tc>
      </w:tr>
      <w:tr>
        <w:tc>
          <w:tcPr>
            <w:tcW w:type="dxa" w:w="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24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24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24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>4</w:t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  <w:tc>
          <w:tcPr>
            <w:tcW w:type="dxa" w:w="244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PT Serif" w:cs="PT Serif" w:eastAsia="PT Serif" w:hAnsi="PT Serif"/>
                <w:b w:val="false"/>
                <w:bCs w:val="false"/>
                <w:color w:val="241F2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before="20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На основании изложенного прошу возобновить осуществление государственного кадастрового учёта и (или) государственной регистрации прав, рассмотрев представленные документы до истечения срока приостановления.</w:t>
      </w:r>
    </w:p>
    <w:p>
      <w:pPr>
        <w:spacing w:after="200" w:before="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Приложения: по тексту таблицы, всего ____ документов на ____ листах.</w:t>
      </w:r>
    </w:p>
    <w:p>
      <w:pPr>
        <w:spacing w:after="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Дата: </w:t>
      </w:r>
      <w:r>
        <w:rPr>
          <w:rFonts w:ascii="PT Serif" w:cs="PT Serif" w:eastAsia="PT Serif" w:hAnsi="PT Serif"/>
          <w:color w:val="4E4759"/>
          <w:sz w:val="22"/>
          <w:szCs w:val="22"/>
        </w:rPr>
        <w:t xml:space="preserve">______________________________</w:t>
      </w:r>
    </w:p>
    <w:p>
      <w:pPr>
        <w:spacing w:after="60"/>
      </w:pPr>
      <w:r>
        <w:rPr>
          <w:rFonts w:ascii="PT Serif" w:cs="PT Serif" w:eastAsia="PT Serif" w:hAnsi="PT Serif"/>
          <w:color w:val="241F2E"/>
          <w:sz w:val="22"/>
          <w:szCs w:val="22"/>
        </w:rPr>
        <w:t xml:space="preserve">Подпись, расшифровка: </w:t>
      </w:r>
      <w:r>
        <w:rPr>
          <w:rFonts w:ascii="PT Serif" w:cs="PT Serif" w:eastAsia="PT Serif" w:hAnsi="PT Serif"/>
          <w:color w:val="4E4759"/>
          <w:sz w:val="22"/>
          <w:szCs w:val="22"/>
        </w:rPr>
        <w:t xml:space="preserve">______________________________</w:t>
      </w:r>
    </w:p>
    <w:p>
      <w:pPr>
        <w:pBdr>
          <w:top w:val="single" w:color="D6CFBE" w:sz="4"/>
        </w:pBdr>
        <w:spacing w:before="280"/>
      </w:pPr>
      <w:r>
        <w:rPr>
          <w:rFonts w:ascii="PT Serif" w:cs="PT Serif" w:eastAsia="PT Serif" w:hAnsi="PT Serif"/>
          <w:i/>
          <w:iCs/>
          <w:color w:val="4E4759"/>
          <w:sz w:val="18"/>
          <w:szCs w:val="18"/>
        </w:rPr>
        <w:t xml:space="preserve">Как заполнять: одно основание — одна строка. В «Доводе» — не спор с регистратором, а ссылка на документ, который закрывает вопрос. Если основание спорно по существу (неверное применение нормы) — этот шаблон не подходит: с 01.01.2026 такие решения обжалуются в апелляционную комиссию по ст. 31.1–31.2 № 218-ФЗ, срок подачи короткий. Шаблон носит информационный характер и не заменяет юридическую консультацию.</w:t>
      </w:r>
    </w:p>
    <w:p>
      <w:pPr>
        <w:spacing w:before="120"/>
      </w:pPr>
      <w:r>
        <w:rPr>
          <w:rFonts w:ascii="PT Serif" w:cs="PT Serif" w:eastAsia="PT Serif" w:hAnsi="PT Serif"/>
          <w:color w:val="4E4759"/>
          <w:sz w:val="18"/>
          <w:szCs w:val="18"/>
        </w:rPr>
        <w:t xml:space="preserve">ELAWYERS GROUP · Игорь Еланский · +7 (985) 280-73-76 · info@el-group.com.ru · argument-law.ru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erif" w:cs="PT Serif" w:eastAsia="PT Serif" w:hAnsi="PT Serif"/>
        <w:color w:val="241F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2026-08-23T08:07:21.796Z</dcterms:created>
  <dcterms:modified xsi:type="dcterms:W3CDTF">2026-08-23T08:07:21.796Z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